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 w:cs="Times New Roman"/>
          <w:b w:val="0"/>
          <w:bCs w:val="0"/>
          <w:sz w:val="36"/>
          <w:szCs w:val="36"/>
          <w:lang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left="105" w:leftChars="50" w:right="105" w:rightChars="5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年全国休闲农业重点县申报表</w:t>
      </w:r>
    </w:p>
    <w:p>
      <w:pPr>
        <w:ind w:left="105" w:leftChars="50" w:right="105" w:rightChars="50"/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 xml:space="preserve"> </w:t>
      </w:r>
    </w:p>
    <w:p>
      <w:pPr>
        <w:ind w:left="105" w:leftChars="50" w:right="105" w:rightChars="50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 xml:space="preserve"> </w:t>
      </w:r>
    </w:p>
    <w:p>
      <w:pPr>
        <w:ind w:left="105" w:leftChars="50" w:right="105" w:rightChars="50"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left="105" w:leftChars="50" w:right="105" w:rightChars="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left="105" w:leftChars="50" w:right="105" w:rightChars="50"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left="105" w:leftChars="50" w:right="105" w:rightChars="50"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left="105" w:leftChars="50" w:right="105" w:rightChars="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right="105" w:rightChars="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省（自治区、直辖市）</w:t>
      </w:r>
    </w:p>
    <w:p>
      <w:pPr>
        <w:ind w:right="105" w:rightChars="50"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市（地、州、盟）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ind w:right="105" w:rightChars="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>
      <w:pPr>
        <w:ind w:left="105" w:leftChars="50" w:right="105" w:rightChars="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ind w:left="105" w:leftChars="50" w:right="105" w:rightChars="5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left="105" w:leftChars="50" w:right="105" w:rightChars="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widowControl/>
        <w:ind w:left="105" w:leftChars="50" w:right="105" w:right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 xml:space="preserve">  </w:t>
      </w:r>
    </w:p>
    <w:p>
      <w:pPr>
        <w:widowControl/>
        <w:ind w:left="105" w:leftChars="50" w:right="105" w:rightChars="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</w:t>
      </w:r>
    </w:p>
    <w:p>
      <w:pPr>
        <w:pStyle w:val="2"/>
        <w:rPr>
          <w:rFonts w:hint="default" w:ascii="Times New Roman" w:hAnsi="Times New Roman" w:cs="Times New Roman"/>
          <w:szCs w:val="21"/>
        </w:rPr>
      </w:pPr>
    </w:p>
    <w:p>
      <w:pPr>
        <w:pStyle w:val="2"/>
        <w:rPr>
          <w:rFonts w:hint="default" w:ascii="Times New Roman" w:hAnsi="Times New Roman" w:cs="Times New Roman"/>
          <w:szCs w:val="21"/>
        </w:rPr>
      </w:pPr>
    </w:p>
    <w:p>
      <w:pPr>
        <w:ind w:left="105" w:leftChars="50" w:right="105" w:rightChar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中华人民共和国农业农村部</w:t>
      </w:r>
    </w:p>
    <w:p>
      <w:pPr>
        <w:ind w:left="105" w:leftChars="50" w:right="105" w:rightChars="5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tbl>
      <w:tblPr>
        <w:tblStyle w:val="6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179"/>
        <w:gridCol w:w="1387"/>
        <w:gridCol w:w="188"/>
        <w:gridCol w:w="759"/>
        <w:gridCol w:w="1425"/>
        <w:gridCol w:w="985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申报县（市、区）名称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联系单位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联系人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电话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通讯地址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发展休闲农业优势资源及比较优势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62" w:leftChars="50" w:right="105" w:rightChars="50" w:hanging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具有世界知名自然文化资源</w:t>
            </w:r>
          </w:p>
          <w:p>
            <w:pPr>
              <w:numPr>
                <w:ilvl w:val="0"/>
                <w:numId w:val="1"/>
              </w:numPr>
              <w:ind w:left="462" w:leftChars="50" w:right="105" w:rightChars="50" w:hanging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具有全国独特自然文化资源</w:t>
            </w:r>
          </w:p>
          <w:p>
            <w:pPr>
              <w:numPr>
                <w:ilvl w:val="0"/>
                <w:numId w:val="1"/>
              </w:numPr>
              <w:ind w:left="462" w:leftChars="50" w:right="105" w:rightChars="50" w:hanging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具有区域鲜明自然文化资源</w:t>
            </w:r>
          </w:p>
          <w:p>
            <w:pPr>
              <w:widowControl/>
              <w:ind w:right="105" w:rightChar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（根据本地实际，选取一项，另附说明，详细列出具体优势）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休闲农业节庆活动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（地市级以上，列举）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在全国具有较高知名度的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休闲农业和乡村旅游点数量（个）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（注明“中国美丽休闲乡村”个数及名称）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乡村休闲旅游精品线路（列举）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全县（市、区）总人口（万人）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全县（市、区）农业人口（万人）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全县（市、区）农村经济总收入（万元）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全县（市、区）农村经济总收入近三年平均增速*（%）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全县农业主导产业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农业主导产业产值（万元）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农业主导产业全产业链产值（万元）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休闲农业对农业主导产业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全产业链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产值贡献率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全县（市、区）休闲农业年营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业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收入（万元）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全县（市、区）休闲农业营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业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收入三年平均增速*（%）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全县（市、区）休闲农业年接待人次（万人次）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全县（市、区）接待人次近三年平均增速*（%）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全县（市、区）休闲农业聚集村数量（个）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全县（市、区）行政村数量（个）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农家乐（农家经营户）数量（个）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乡村民宿数量（个）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休闲农庄数量（个）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休闲农园数量（个）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全县（市、区）休闲农业从业人数（人）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其中：农民从业人数（人）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全县（市、区）农民人均可支配收入（元）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全县（市、区）农民人均可支配收入近三年平均增速（%）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全县（市、区）从业农民人均从休闲农业获得收入（元）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全县（市、区）从业农民人均从休闲农业获得收入近三年平均增速*（%）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全县（市、区）农村无害化卫生户厕普及率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全县（市、区）拥有游客服务中心的休闲农业聚集村数量（个）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全县（市、区）非物质文化遗产数量（个）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全县（市、区）地市级（含）以上科普教育基地数量（个）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近三年全县（市、区）休闲农业带动本地农产品销售额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（万元）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全县（市、区）休闲农业培训覆盖率（%）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全县（市、区）休闲农业贷款余额（万元）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新编县域国土空间规划全县（市、区）用于休闲农业的建设用地指标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eastAsia="zh-CN"/>
              </w:rPr>
              <w:t>比例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（%）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本县是否属于以下享受中央财政奖励政策的农业产业大县（</w:t>
            </w:r>
            <w:r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  <w:t>如是，请打勾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）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产粮（油）大县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生猪（牛羊）调出大县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left="0" w:leftChars="0" w:right="105" w:rightChars="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奶业大县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全县（市、区）休闲农业建设基本情况概述（主要包括资源优势、设施条件、建设思路、规划布局、重点任务、具体措施、建设现状、功能拓展、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联农带农机制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在用地保障、财政投资、金融支持、人才培引</w:t>
            </w:r>
            <w:r>
              <w:rPr>
                <w:rFonts w:hint="default" w:ascii="Times New Roman" w:hAnsi="Times New Roman" w:cs="Times New Roman"/>
                <w:b/>
                <w:bCs/>
              </w:rPr>
              <w:t>等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方面的</w:t>
            </w:r>
            <w:r>
              <w:rPr>
                <w:rFonts w:hint="default" w:ascii="Times New Roman" w:hAnsi="Times New Roman" w:cs="Times New Roman"/>
                <w:b/>
                <w:bCs/>
              </w:rPr>
              <w:t>政策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创设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建立健全组织</w:t>
            </w:r>
            <w:r>
              <w:rPr>
                <w:rFonts w:hint="default" w:ascii="Times New Roman" w:hAnsi="Times New Roman" w:cs="Times New Roman"/>
                <w:b/>
                <w:bCs/>
              </w:rPr>
              <w:t>管理机制等情况）（5000字以内，可附页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，出台相关政策性文件以附件形式一并提供</w:t>
            </w:r>
            <w:r>
              <w:rPr>
                <w:rFonts w:hint="default" w:ascii="Times New Roman" w:hAnsi="Times New Roman" w:cs="Times New Roman"/>
                <w:b/>
                <w:bCs/>
              </w:rPr>
              <w:t>）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县级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人民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政府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意见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78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ind w:left="105" w:leftChars="50" w:right="105" w:rightChars="50" w:firstLine="4216" w:firstLineChars="20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县级人民政府（盖章）  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                   </w:t>
            </w:r>
          </w:p>
          <w:p>
            <w:pPr>
              <w:ind w:left="105" w:leftChars="50" w:right="105" w:rightChar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省级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农业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农村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部门</w:t>
            </w:r>
          </w:p>
          <w:p>
            <w:pPr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8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 w:firstLine="2108" w:firstLineChars="1000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ind w:left="105" w:leftChars="50" w:right="105" w:rightChars="50" w:firstLine="2100" w:firstLineChars="10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left="0" w:leftChars="0" w:right="105" w:rightChars="50" w:firstLine="4216" w:firstLineChars="20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农业农村部门（盖章）</w:t>
            </w:r>
          </w:p>
          <w:p>
            <w:pPr>
              <w:ind w:left="105" w:leftChars="50" w:right="105" w:rightChars="50" w:firstLine="2108" w:firstLineChars="1000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ind w:left="105" w:leftChars="50" w:right="105" w:rightChars="50" w:firstLine="2108" w:firstLineChars="10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               年    月    日</w:t>
            </w:r>
          </w:p>
        </w:tc>
      </w:tr>
    </w:tbl>
    <w:p>
      <w:pPr>
        <w:ind w:right="105" w:rightChars="50"/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ind w:right="105" w:rightChars="50"/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全国休闲农业重点县申报表填报说明</w:t>
      </w:r>
    </w:p>
    <w:p>
      <w:pPr>
        <w:ind w:right="105" w:rightChars="50"/>
        <w:jc w:val="center"/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-1"/>
          <w:numId w:val="0"/>
        </w:num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表中数据用上年实际数，但带“*”指标，指20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20—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三年数据平均值。“近三年平均增速”指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以2019年为基期，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20—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年均增长率</w:t>
      </w:r>
      <m:oMath>
        <m:r>
          <m:rPr/>
          <w:rPr>
            <w:rFonts w:hint="default" w:ascii="Cambria Math" w:hAnsi="Cambria Math" w:eastAsia="仿宋_GB2312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α</m:t>
        </m:r>
      </m:oMath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基期2019年的数据为</w:t>
      </w:r>
      <m:oMath>
        <m:sSub>
          <m:sSubP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20</m:t>
            </m:r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19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2022年的数据为</w:t>
      </w:r>
      <m:oMath>
        <m:sSub>
          <m:sSubP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202</m:t>
            </m:r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计算公式：</w:t>
      </w:r>
      <m:oMath>
        <m:r>
          <m:rPr/>
          <w:rPr>
            <w:rFonts w:hint="default" w:ascii="Cambria Math" w:hAnsi="Cambria Math" w:eastAsia="仿宋_GB2312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α</m:t>
        </m:r>
        <m:r>
          <m:rPr/>
          <w:rPr>
            <w:rFonts w:hint="default" w:ascii="Cambria Math" w:hAnsi="Cambria Math" w:eastAsia="仿宋_GB2312" w:cs="Times New Roman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m:t>=(</m:t>
        </m:r>
        <m:rad>
          <m:radP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f>
              <m:fPr>
                <m:type m:val="skw"/>
                <m:ctrlPr>
                  <w:rPr>
                    <w:rFonts w:hint="default" w:ascii="Cambria Math" w:hAnsi="Cambria Math" w:eastAsia="仿宋_GB2312" w:cs="Times New Roman"/>
                    <w:i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x</m:t>
                    </m: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202</m:t>
                    </m:r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ctrlPr>
                  <w:rPr>
                    <w:rFonts w:hint="default" w:ascii="Cambria Math" w:hAnsi="Cambria Math" w:eastAsia="仿宋_GB2312" w:cs="Times New Roman"/>
                    <w:i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x</m:t>
                    </m: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201</m:t>
                    </m:r>
                    <m:r>
                      <m:rPr/>
                      <w:rPr>
                        <w:rFonts w:hint="default" w:ascii="Cambria Math" w:hAnsi="Cambria Math" w:eastAsia="仿宋_GB2312" w:cs="Times New Roman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9</m:t>
                    </m:r>
                    <m:ctrlPr>
                      <w:rPr>
                        <w:rFonts w:hint="default" w:ascii="Cambria Math" w:hAnsi="Cambria Math" w:eastAsia="仿宋_GB2312" w:cs="Times New Roman"/>
                        <w:i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ctrlPr>
                  <w:rPr>
                    <w:rFonts w:hint="default" w:ascii="Cambria Math" w:hAnsi="Cambria Math" w:eastAsia="仿宋_GB2312" w:cs="Times New Roman"/>
                    <w:i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n>
            </m:f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1)×100%</w:t>
      </w:r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例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休闲农业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收入三年平均增速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=（</w:t>
      </w:r>
      <m:oMath>
        <m:rad>
          <m:radP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r>
              <m:rPr/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2022年营业收入总额/2019年营业收入总额</m:t>
            </m:r>
            <m:ctrlPr>
              <w:rPr>
                <w:rFonts w:hint="default" w:ascii="Cambria Math" w:hAnsi="Cambria Math" w:eastAsia="仿宋_GB2312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－1）×100%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。如用excel表计算：A1=2022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收入总额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，A2=2019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收入总额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计算公式为：=((A1/A2)^(1/3)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1)*100%。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此外，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近三年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全县（市、区）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带动本地农产品销售额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”指20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年全县（市、区）休闲农业带动本地农产品销售额的三年平均值。</w:t>
      </w:r>
    </w:p>
    <w:p>
      <w:pPr>
        <w:numPr>
          <w:ilvl w:val="0"/>
          <w:numId w:val="0"/>
        </w:numPr>
        <w:ind w:right="105" w:rightChars="50"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全县农业主导产业：指按第一产业核算农业产业产值排第一的产业。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请从粮食产业、油料产业、生猪产业、牛产业、羊产业、奶业、禽产业、蛋产业、渔业、水果产业、蔬菜产业、茶产业等产业中选择填写本县202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产值排第一的产业名称。如某县202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年粮食产值在所有农业产业中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产值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排第一，则填粮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食产业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休闲农业对农业主导产业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全产业链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产值贡献率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依托农业主导产业延伸拓展休闲体验功能而获得的休闲农业产值/农业主导产业全产业链产值×100%（请用2022年的数据）。例如：2022年某县农业主导产业为油料（油菜），油料全产业链产值为40亿元，该县依托油菜种植、油料加工等第一二产业向休闲农业延伸拓展，开展油菜花海休闲体验、油菜种植科普教育、油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菜花休闲工艺品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等休闲农业的产值为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亿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，则贡献率为：8亿元/40亿元×100%=20%。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休闲农业聚集村：以农业为基础、农民为主体，依托自然与文化资源因地制宜发展休闲农业和乡村旅游，具有较强的示范辐射和带动作用的行政村。全村从事休闲产业生产经营活动农户数占比达到30%以上，单项休闲业态形成一定规模、或者多项业态形成聚集联动效应，休闲农业总产值（含休闲产品销售）占全村经济总产值50%以上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.全国具有较高知名度的休闲农业和乡村旅游点：省级以上美丽休闲乡村、休闲农业聚集村、休闲农业园区、农家乐、乡村民宿等。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中国美丽休闲乡村：以农业为基础、农民为主体、乡村为单元，依托悠久的村落建筑、独特的民居风貌、厚重的农耕文明、浓郁的乡村文化、多彩的民俗风情、良好的生态资源，因地制宜发展休闲农业和乡村旅游，功能特色突出，文化内涵丰富，品牌知名度高，农民利益联结机制完善，具有较强的示范辐射和带动作用，经农业农村部发布推介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.农家乐：主要以农民家庭为经营单元，以农家院、农家饭、农家活等为吸引，提供农家生活体验服务的经营形态。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.乡村民宿：在乡村地区利用当地民居等相关闲置资源，主人参与接待为游客提供体验当地人文环境、自然景观、生态资源与生产生活方式的小型住宿设施。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.休闲农园：以观光采摘园、垂钓园、市民农园、农业科技园为单元，以农业景观和鲜活（特色）农产品为吸引，提供休闲观光、农事体验、科普教育、科技展示、文化传承等农业多功能服务的经营形态。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.休闲农庄：以农业生产与乡村休闲结合的经营性服务场所为单元，以农业创意产品、农事活动、农耕文化为吸引，提供农业观光、餐饮住宿、休闲度假等综合服务的经营形态。</w:t>
      </w:r>
    </w:p>
    <w:p>
      <w:p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农村无害化卫生户厕普及率（%）：县域内使用无害化卫生厕所的农户占农户总数的比例。无害化卫生厕所符合执行《农村户厕卫生标准》（GB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19379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2012）。计算公式：农村无害化卫生户厕普及率=县域内使用无害化卫生厕所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农户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数量/农户总数×100%。</w:t>
      </w:r>
    </w:p>
    <w:p>
      <w:pPr>
        <w:widowControl/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非物质文化遗产数量（个）：县域内列入省级及以上非物质文化遗产名录的遗产数量。</w:t>
      </w:r>
    </w:p>
    <w:p>
      <w:pPr>
        <w:widowControl/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.地市级（含）以上科普教育基地数量（个）：由地市级及以上部门认定的科普基地、研学基地、学农劳动、自然探究等实践基地的数量。</w:t>
      </w:r>
    </w:p>
    <w:p>
      <w:pPr>
        <w:widowControl/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.带动本地农产品销售额（万元）：近三年（20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20—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年）通过休闲农业带动地产农产品销售的年均金额。</w:t>
      </w:r>
    </w:p>
    <w:p>
      <w:pPr>
        <w:widowControl/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休闲农业培训覆盖率（%）：指每年参加休闲农业相关培训的从业人员占比。休闲农业培训是指围绕提升农民综合素质、生产技能和经营管理能力对休闲农业经营主体进行的科学、系统、有组织的培训。计算公式：休闲农业培训覆盖率=每年参加休闲农业相关培训的从业人员数量/休闲农业从业人员总数×100%。</w:t>
      </w:r>
    </w:p>
    <w:p>
      <w:pPr>
        <w:widowControl/>
        <w:numPr>
          <w:ilvl w:val="0"/>
          <w:numId w:val="0"/>
        </w:numPr>
        <w:ind w:right="105" w:rightChars="50"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16.享受中央财政奖励政策的农业产业大县：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产粮（油）大县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是指依据《财政部关于印发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产粮（油）大县奖励资金管理暂行办法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的通知》（财建〔2018〕413号）享受中央财政产粮（油）大县奖励资金的县。生猪（牛羊）调出大县是指依据《财政部关于印发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生猪（牛羊）调出大县奖励资金管理办法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通知》（财建〔2015〕778号）享受中央财政生猪（牛羊）调出大县奖励资金的县。奶业大县是指依据《农业农村部办公厅、财政部办公厅关于实施奶业生产能力提升整县推进项目的通知》（农办牧〔2022〕13号）享受中央财政补助资金的县。</w:t>
      </w:r>
    </w:p>
    <w:p>
      <w:pPr>
        <w:rPr>
          <w:rFonts w:hint="default" w:ascii="Times New Roman" w:hAnsi="Times New Roman" w:eastAsia="华文中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 PAGE   \* MERGEFORMAT 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9</w:t>
    </w:r>
    <w:r>
      <w:rPr>
        <w:rFonts w:hint="default" w:ascii="Times New Roman" w:hAnsi="Times New Roman" w:cs="Times New Roma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9B1AF"/>
    <w:multiLevelType w:val="multilevel"/>
    <w:tmpl w:val="2AF9B1AF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U5NGM1YWU3NjIwZmZjMzc3MDMwMTZkYWM3NDQifQ=="/>
  </w:docVars>
  <w:rsids>
    <w:rsidRoot w:val="00000000"/>
    <w:rsid w:val="028E0BAB"/>
    <w:rsid w:val="0B300371"/>
    <w:rsid w:val="0B5877E4"/>
    <w:rsid w:val="0CEB1914"/>
    <w:rsid w:val="0CFD7FF3"/>
    <w:rsid w:val="0DDB0DAE"/>
    <w:rsid w:val="0E12651D"/>
    <w:rsid w:val="0F8660CA"/>
    <w:rsid w:val="118E28E4"/>
    <w:rsid w:val="126422AF"/>
    <w:rsid w:val="14E847A8"/>
    <w:rsid w:val="178617C1"/>
    <w:rsid w:val="1A8F67DE"/>
    <w:rsid w:val="1BC31CAE"/>
    <w:rsid w:val="1E9D55C7"/>
    <w:rsid w:val="28CF57EE"/>
    <w:rsid w:val="29AB7473"/>
    <w:rsid w:val="2B8D3E1A"/>
    <w:rsid w:val="2C5B4EA4"/>
    <w:rsid w:val="2C6D0C43"/>
    <w:rsid w:val="2CDC2BCF"/>
    <w:rsid w:val="2E4A251D"/>
    <w:rsid w:val="2EE65BF8"/>
    <w:rsid w:val="302C180D"/>
    <w:rsid w:val="328B3E7A"/>
    <w:rsid w:val="329124B1"/>
    <w:rsid w:val="32962666"/>
    <w:rsid w:val="34641E07"/>
    <w:rsid w:val="36A93107"/>
    <w:rsid w:val="38B975A8"/>
    <w:rsid w:val="3AAB39C7"/>
    <w:rsid w:val="3C716ED6"/>
    <w:rsid w:val="3CBF1A5E"/>
    <w:rsid w:val="40F204DE"/>
    <w:rsid w:val="432B3260"/>
    <w:rsid w:val="44891BBB"/>
    <w:rsid w:val="4C920781"/>
    <w:rsid w:val="4CC4300C"/>
    <w:rsid w:val="4DBA3A49"/>
    <w:rsid w:val="52B909A3"/>
    <w:rsid w:val="57603931"/>
    <w:rsid w:val="5C734529"/>
    <w:rsid w:val="5E513D4F"/>
    <w:rsid w:val="5EFD7C68"/>
    <w:rsid w:val="62BF5F4D"/>
    <w:rsid w:val="63175BC3"/>
    <w:rsid w:val="660B79B1"/>
    <w:rsid w:val="66F647CD"/>
    <w:rsid w:val="6A645153"/>
    <w:rsid w:val="6EC466C2"/>
    <w:rsid w:val="75915FBF"/>
    <w:rsid w:val="7928150B"/>
    <w:rsid w:val="7A0D74F1"/>
    <w:rsid w:val="7A9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10033</Words>
  <Characters>10558</Characters>
  <Lines>0</Lines>
  <Paragraphs>0</Paragraphs>
  <TotalTime>1</TotalTime>
  <ScaleCrop>false</ScaleCrop>
  <LinksUpToDate>false</LinksUpToDate>
  <CharactersWithSpaces>11110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2023-04-19T08:46:00Z</dcterms:created>
  <dc:creator>Dell</dc:creator>
  <cp:lastModifiedBy>DELL</cp:lastModifiedBy>
  <cp:lastPrinted>2023-06-01T00:11:00Z</cp:lastPrinted>
  <dcterms:modified xsi:type="dcterms:W3CDTF">2023-06-07T07:44:40Z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8E954526FE3644DBB74C6F04E86B06BA_13</vt:lpwstr>
  </property>
</Properties>
</file>